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Выписка</w:t>
      </w:r>
    </w:p>
    <w:p w14:paraId="02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 протокола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от 9 марта 2023 г. № 1/кс </w:t>
      </w:r>
    </w:p>
    <w:p w14:paraId="03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bookmarkStart w:id="1" w:name="_GoBack"/>
      <w:bookmarkEnd w:id="1"/>
      <w:r>
        <w:rPr>
          <w:rFonts w:ascii="Times New Roman" w:hAnsi="Times New Roman"/>
          <w:sz w:val="28"/>
        </w:rPr>
        <w:t>заседания Координационного совета по развитию конкуренции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Республике Мордовия </w:t>
      </w:r>
    </w:p>
    <w:p w14:paraId="05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06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07000000">
      <w:pPr>
        <w:spacing w:after="0" w:line="240" w:lineRule="auto"/>
        <w:ind w:firstLine="709" w:left="0"/>
        <w:jc w:val="both"/>
        <w:rPr>
          <w:rFonts w:ascii="Calibri" w:hAnsi="Calibri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Председательствовал: </w:t>
      </w:r>
      <w:bookmarkStart w:id="2" w:name="__DdeLink__426_3794232608"/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.о</w:t>
      </w:r>
      <w:r>
        <w:rPr>
          <w:rFonts w:ascii="Times New Roman" w:hAnsi="Times New Roman"/>
          <w:color w:val="000000"/>
          <w:sz w:val="28"/>
        </w:rPr>
        <w:t>. Министра экономики, торговли и предпринимательства Республики Мордовия – председатель Координационного совета</w:t>
      </w:r>
      <w:r>
        <w:rPr>
          <w:rFonts w:ascii="Calibri" w:hAnsi="Calibri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 развитию конкуренции</w:t>
      </w:r>
      <w:r>
        <w:rPr>
          <w:rFonts w:ascii="Calibri" w:hAnsi="Calibri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в Республике Мордовия </w:t>
      </w:r>
      <w:bookmarkEnd w:id="2"/>
      <w:r>
        <w:rPr>
          <w:rFonts w:ascii="Times New Roman" w:hAnsi="Times New Roman"/>
          <w:color w:val="000000"/>
          <w:sz w:val="28"/>
        </w:rPr>
        <w:t>Горин И.А.</w:t>
      </w:r>
    </w:p>
    <w:p w14:paraId="08000000">
      <w:pPr>
        <w:spacing w:after="0" w:line="240" w:lineRule="auto"/>
        <w:ind w:firstLine="709" w:left="0"/>
        <w:jc w:val="both"/>
        <w:rPr>
          <w:rFonts w:ascii="Calibri" w:hAnsi="Calibri"/>
          <w:color w:val="000000"/>
          <w:sz w:val="28"/>
        </w:rPr>
      </w:pPr>
      <w:r>
        <w:rPr>
          <w:rFonts w:ascii="Times New Roman" w:hAnsi="Times New Roman"/>
          <w:b w:val="1"/>
          <w:sz w:val="28"/>
        </w:rPr>
        <w:t>Присутствовали: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>члены Координационного совета по развитию кон</w:t>
      </w:r>
      <w:r>
        <w:rPr>
          <w:rFonts w:ascii="Times New Roman" w:hAnsi="Times New Roman"/>
          <w:sz w:val="28"/>
        </w:rPr>
        <w:t>куренции в Республике Мордовия:</w:t>
      </w:r>
      <w:r>
        <w:rPr>
          <w:rFonts w:ascii="Times New Roman" w:hAnsi="Times New Roman"/>
          <w:sz w:val="28"/>
        </w:rPr>
        <w:t xml:space="preserve"> Алешина М.С., </w:t>
      </w:r>
      <w:r>
        <w:rPr>
          <w:rFonts w:ascii="Times New Roman" w:hAnsi="Times New Roman"/>
          <w:sz w:val="28"/>
        </w:rPr>
        <w:t xml:space="preserve">Анашкин П.М., </w:t>
      </w:r>
      <w:r>
        <w:rPr>
          <w:rFonts w:ascii="Times New Roman" w:hAnsi="Times New Roman"/>
          <w:sz w:val="28"/>
        </w:rPr>
        <w:t>Аросланкина А.П.,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Бычков Н.В., </w:t>
      </w:r>
      <w:r>
        <w:rPr>
          <w:rFonts w:ascii="Times New Roman" w:hAnsi="Times New Roman"/>
          <w:sz w:val="28"/>
        </w:rPr>
        <w:t xml:space="preserve">Громов Г.А., </w:t>
      </w:r>
      <w:r>
        <w:rPr>
          <w:rFonts w:ascii="Times New Roman" w:hAnsi="Times New Roman"/>
          <w:sz w:val="28"/>
        </w:rPr>
        <w:t>Давыдова Н.М., Денисов М.П.,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Еремкин</w:t>
      </w:r>
      <w:r>
        <w:rPr>
          <w:rFonts w:ascii="Times New Roman" w:hAnsi="Times New Roman"/>
          <w:sz w:val="28"/>
        </w:rPr>
        <w:t xml:space="preserve"> И.П., Захаров А.В., </w:t>
      </w:r>
      <w:r>
        <w:rPr>
          <w:rFonts w:ascii="Times New Roman" w:hAnsi="Times New Roman"/>
          <w:sz w:val="28"/>
        </w:rPr>
        <w:t>Игошева</w:t>
      </w:r>
      <w:r>
        <w:rPr>
          <w:rFonts w:ascii="Times New Roman" w:hAnsi="Times New Roman"/>
          <w:sz w:val="28"/>
        </w:rPr>
        <w:t xml:space="preserve"> О.А.,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Колосков А.Ю., Купцов С.В., </w:t>
      </w:r>
      <w:r>
        <w:rPr>
          <w:rFonts w:ascii="Times New Roman" w:hAnsi="Times New Roman"/>
          <w:sz w:val="28"/>
        </w:rPr>
        <w:t>Ледяйкин</w:t>
      </w:r>
      <w:r>
        <w:rPr>
          <w:rFonts w:ascii="Times New Roman" w:hAnsi="Times New Roman"/>
          <w:sz w:val="28"/>
        </w:rPr>
        <w:t xml:space="preserve"> Е.Е., Сенин П.В., Спиридонова И.Г.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Черкасова Т.С., </w:t>
      </w:r>
      <w:r>
        <w:rPr>
          <w:rFonts w:ascii="Times New Roman" w:hAnsi="Times New Roman"/>
          <w:sz w:val="28"/>
        </w:rPr>
        <w:t>Юрченкова</w:t>
      </w:r>
      <w:r>
        <w:rPr>
          <w:rFonts w:ascii="Times New Roman" w:hAnsi="Times New Roman"/>
          <w:sz w:val="28"/>
        </w:rPr>
        <w:t xml:space="preserve"> Е.М.</w:t>
      </w:r>
      <w:r>
        <w:rPr>
          <w:rFonts w:ascii="Times New Roman" w:hAnsi="Times New Roman"/>
          <w:sz w:val="28"/>
        </w:rPr>
        <w:t>, кворум для проведения имеется.</w:t>
      </w:r>
    </w:p>
    <w:p w14:paraId="0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0A000000">
      <w:pPr>
        <w:spacing w:after="0" w:line="240" w:lineRule="auto"/>
        <w:ind w:firstLine="709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 пункту 2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«</w:t>
      </w:r>
      <w:r>
        <w:rPr>
          <w:rFonts w:ascii="Times New Roman" w:hAnsi="Times New Roman"/>
          <w:b w:val="1"/>
          <w:sz w:val="28"/>
        </w:rPr>
        <w:t>Об утверждении рейтинга муниципальных образований в Республике Мордовия и городского округа Саранск по развитию конкуренции и обеспечению условий для благоприятного инве</w:t>
      </w:r>
      <w:r>
        <w:rPr>
          <w:rFonts w:ascii="Times New Roman" w:hAnsi="Times New Roman"/>
          <w:b w:val="1"/>
          <w:sz w:val="28"/>
        </w:rPr>
        <w:t>стиционного климата за 2022 год</w:t>
      </w:r>
      <w:r>
        <w:rPr>
          <w:rFonts w:ascii="Times New Roman" w:hAnsi="Times New Roman"/>
          <w:b w:val="1"/>
          <w:sz w:val="28"/>
        </w:rPr>
        <w:t xml:space="preserve">» </w:t>
      </w:r>
      <w:r>
        <w:rPr>
          <w:rFonts w:ascii="Times New Roman" w:hAnsi="Times New Roman"/>
          <w:b w:val="1"/>
          <w:sz w:val="28"/>
        </w:rPr>
        <w:t>решили:</w:t>
      </w:r>
    </w:p>
    <w:p w14:paraId="0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0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2.2. Утвердить рейтинг муниципальных образований в Республике Мордовия и городского округа Саранск по развитию конкуренции и по обеспечению условий для благоприятного инвестиционного климата за 2022 год:</w:t>
      </w:r>
    </w:p>
    <w:p w14:paraId="0D000000">
      <w:pPr>
        <w:spacing w:after="0" w:line="240" w:lineRule="auto"/>
        <w:ind w:firstLine="795" w:left="0"/>
        <w:contextualSpacing w:val="1"/>
        <w:jc w:val="center"/>
        <w:rPr>
          <w:rFonts w:ascii="Times New Roman" w:hAnsi="Times New Roman"/>
          <w:b w:val="1"/>
          <w:sz w:val="28"/>
        </w:rPr>
      </w:pPr>
    </w:p>
    <w:tbl>
      <w:tblPr>
        <w:tblInd w:type="dxa" w:w="0"/>
        <w:tblLayout w:type="fixed"/>
        <w:tblCellMar>
          <w:top w:type="dxa" w:w="55"/>
          <w:left w:type="dxa" w:w="55"/>
          <w:bottom w:type="dxa" w:w="55"/>
          <w:right w:type="dxa" w:w="55"/>
        </w:tblCellMar>
      </w:tblPr>
      <w:tblGrid>
        <w:gridCol w:w="764"/>
        <w:gridCol w:w="3371"/>
        <w:gridCol w:w="2694"/>
        <w:gridCol w:w="2590"/>
      </w:tblGrid>
      <w:tr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0E000000">
            <w:pPr>
              <w:spacing w:after="0" w:line="240" w:lineRule="auto"/>
              <w:ind w:firstLine="0" w:left="0"/>
              <w:contextualSpacing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  <w:p w14:paraId="0F000000">
            <w:pPr>
              <w:spacing w:after="0" w:line="240" w:lineRule="auto"/>
              <w:ind w:firstLine="0" w:left="0"/>
              <w:contextualSpacing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п/п</w:t>
            </w:r>
          </w:p>
        </w:tc>
        <w:tc>
          <w:tcPr>
            <w:tcW w:type="dxa" w:w="33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10000000">
            <w:pPr>
              <w:spacing w:after="0" w:line="240" w:lineRule="auto"/>
              <w:ind w:firstLine="0" w:left="0"/>
              <w:contextualSpacing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Муниципальный район, городской округ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11000000">
            <w:pPr>
              <w:tabs>
                <w:tab w:leader="none" w:pos="1476" w:val="left"/>
                <w:tab w:leader="none" w:pos="1932" w:val="left"/>
              </w:tabs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Финальное значение комплексной оценки</w:t>
            </w:r>
          </w:p>
        </w:tc>
        <w:tc>
          <w:tcPr>
            <w:tcW w:type="dxa" w:w="2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12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Ранг</w:t>
            </w:r>
            <w:r>
              <w:rPr>
                <w:rFonts w:ascii="Times New Roman" w:hAnsi="Times New Roman"/>
                <w:sz w:val="28"/>
              </w:rPr>
              <w:t xml:space="preserve"> 2022</w:t>
            </w:r>
            <w:r>
              <w:rPr>
                <w:rFonts w:ascii="Times New Roman" w:hAnsi="Times New Roman"/>
                <w:sz w:val="28"/>
              </w:rPr>
              <w:t xml:space="preserve"> г.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14:paraId="13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(2021</w:t>
            </w:r>
            <w:r>
              <w:rPr>
                <w:rFonts w:ascii="Times New Roman" w:hAnsi="Times New Roman"/>
                <w:sz w:val="28"/>
              </w:rPr>
              <w:t xml:space="preserve"> г.</w:t>
            </w:r>
            <w:r>
              <w:rPr>
                <w:rFonts w:ascii="Times New Roman" w:hAnsi="Times New Roman"/>
                <w:sz w:val="28"/>
              </w:rPr>
              <w:t>)</w:t>
            </w:r>
          </w:p>
        </w:tc>
      </w:tr>
      <w:tr>
        <w:tc>
          <w:tcPr>
            <w:tcW w:type="dxa" w:w="764"/>
            <w:tcBorders>
              <w:left w:color="000000" w:sz="4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  <w:vAlign w:val="bottom"/>
          </w:tcPr>
          <w:p w14:paraId="1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1.</w:t>
            </w:r>
          </w:p>
        </w:tc>
        <w:tc>
          <w:tcPr>
            <w:tcW w:type="dxa" w:w="3371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bottom"/>
          </w:tcPr>
          <w:p w14:paraId="15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городской округ Саранск</w:t>
            </w:r>
          </w:p>
        </w:tc>
        <w:tc>
          <w:tcPr>
            <w:tcW w:type="dxa" w:w="269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bottom"/>
          </w:tcPr>
          <w:p w14:paraId="1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15,4</w:t>
            </w:r>
          </w:p>
        </w:tc>
        <w:tc>
          <w:tcPr>
            <w:tcW w:type="dxa" w:w="2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↑ </w:t>
            </w:r>
            <w:r>
              <w:rPr>
                <w:rFonts w:ascii="Times New Roman" w:hAnsi="Times New Roman"/>
                <w:b w:val="1"/>
                <w:sz w:val="28"/>
              </w:rPr>
              <w:t>1</w:t>
            </w:r>
            <w:r>
              <w:rPr>
                <w:rFonts w:ascii="Times New Roman" w:hAnsi="Times New Roman"/>
                <w:b w:val="1"/>
                <w:sz w:val="28"/>
              </w:rPr>
              <w:t xml:space="preserve"> (6)</w:t>
            </w:r>
          </w:p>
        </w:tc>
      </w:tr>
      <w:tr>
        <w:tc>
          <w:tcPr>
            <w:tcW w:type="dxa" w:w="764"/>
            <w:tcBorders>
              <w:left w:color="000000" w:sz="4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  <w:vAlign w:val="bottom"/>
          </w:tcPr>
          <w:p w14:paraId="1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2.</w:t>
            </w:r>
          </w:p>
        </w:tc>
        <w:tc>
          <w:tcPr>
            <w:tcW w:type="dxa" w:w="3371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bottom"/>
          </w:tcPr>
          <w:p w14:paraId="19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Ардатовский</w:t>
            </w:r>
          </w:p>
        </w:tc>
        <w:tc>
          <w:tcPr>
            <w:tcW w:type="dxa" w:w="269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bottom"/>
          </w:tcPr>
          <w:p w14:paraId="1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15,1</w:t>
            </w:r>
          </w:p>
        </w:tc>
        <w:tc>
          <w:tcPr>
            <w:tcW w:type="dxa" w:w="2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</w:rPr>
              <w:t>↓</w:t>
            </w:r>
            <w:r>
              <w:rPr>
                <w:rFonts w:ascii="Times New Roman" w:hAnsi="Times New Roman"/>
                <w:b w:val="1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b w:val="1"/>
                <w:sz w:val="28"/>
              </w:rPr>
              <w:t>2</w:t>
            </w:r>
            <w:r>
              <w:rPr>
                <w:rFonts w:ascii="Times New Roman" w:hAnsi="Times New Roman"/>
                <w:b w:val="1"/>
                <w:sz w:val="28"/>
              </w:rPr>
              <w:t xml:space="preserve"> (1)</w:t>
            </w:r>
          </w:p>
        </w:tc>
      </w:tr>
      <w:tr>
        <w:tc>
          <w:tcPr>
            <w:tcW w:type="dxa" w:w="764"/>
            <w:tcBorders>
              <w:left w:color="000000" w:sz="4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  <w:vAlign w:val="bottom"/>
          </w:tcPr>
          <w:p w14:paraId="1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3.</w:t>
            </w:r>
          </w:p>
        </w:tc>
        <w:tc>
          <w:tcPr>
            <w:tcW w:type="dxa" w:w="3371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bottom"/>
          </w:tcPr>
          <w:p w14:paraId="1D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Рузаевский</w:t>
            </w:r>
          </w:p>
        </w:tc>
        <w:tc>
          <w:tcPr>
            <w:tcW w:type="dxa" w:w="269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bottom"/>
          </w:tcPr>
          <w:p w14:paraId="1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14,8</w:t>
            </w:r>
          </w:p>
        </w:tc>
        <w:tc>
          <w:tcPr>
            <w:tcW w:type="dxa" w:w="2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3</w:t>
            </w:r>
            <w:r>
              <w:rPr>
                <w:rFonts w:ascii="Times New Roman" w:hAnsi="Times New Roman"/>
                <w:b w:val="1"/>
                <w:sz w:val="28"/>
              </w:rPr>
              <w:t xml:space="preserve"> (3)</w:t>
            </w:r>
          </w:p>
        </w:tc>
      </w:tr>
      <w:tr>
        <w:tc>
          <w:tcPr>
            <w:tcW w:type="dxa" w:w="764"/>
            <w:tcBorders>
              <w:left w:color="000000" w:sz="4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  <w:vAlign w:val="bottom"/>
          </w:tcPr>
          <w:p w14:paraId="2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4.</w:t>
            </w:r>
          </w:p>
        </w:tc>
        <w:tc>
          <w:tcPr>
            <w:tcW w:type="dxa" w:w="3371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bottom"/>
          </w:tcPr>
          <w:p w14:paraId="21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Ромодановский</w:t>
            </w:r>
          </w:p>
        </w:tc>
        <w:tc>
          <w:tcPr>
            <w:tcW w:type="dxa" w:w="269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bottom"/>
          </w:tcPr>
          <w:p w14:paraId="2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14,5</w:t>
            </w:r>
          </w:p>
        </w:tc>
        <w:tc>
          <w:tcPr>
            <w:tcW w:type="dxa" w:w="2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</w:rPr>
              <w:t>↓</w:t>
            </w:r>
            <w:r>
              <w:rPr>
                <w:rFonts w:ascii="Times New Roman" w:hAnsi="Times New Roman"/>
                <w:b w:val="1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b w:val="1"/>
                <w:sz w:val="28"/>
              </w:rPr>
              <w:t>4</w:t>
            </w:r>
            <w:r>
              <w:rPr>
                <w:rFonts w:ascii="Times New Roman" w:hAnsi="Times New Roman"/>
                <w:b w:val="1"/>
                <w:sz w:val="28"/>
              </w:rPr>
              <w:t xml:space="preserve"> (2)</w:t>
            </w:r>
          </w:p>
        </w:tc>
      </w:tr>
      <w:tr>
        <w:tc>
          <w:tcPr>
            <w:tcW w:type="dxa" w:w="764"/>
            <w:tcBorders>
              <w:left w:color="000000" w:sz="4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  <w:vAlign w:val="bottom"/>
          </w:tcPr>
          <w:p w14:paraId="2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5.</w:t>
            </w:r>
          </w:p>
        </w:tc>
        <w:tc>
          <w:tcPr>
            <w:tcW w:type="dxa" w:w="3371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bottom"/>
          </w:tcPr>
          <w:p w14:paraId="25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Дубенский</w:t>
            </w:r>
          </w:p>
        </w:tc>
        <w:tc>
          <w:tcPr>
            <w:tcW w:type="dxa" w:w="269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bottom"/>
          </w:tcPr>
          <w:p w14:paraId="2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14,2</w:t>
            </w:r>
          </w:p>
        </w:tc>
        <w:tc>
          <w:tcPr>
            <w:tcW w:type="dxa" w:w="2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5</w:t>
            </w:r>
            <w:r>
              <w:rPr>
                <w:rFonts w:ascii="Times New Roman" w:hAnsi="Times New Roman"/>
                <w:b w:val="1"/>
                <w:sz w:val="28"/>
              </w:rPr>
              <w:t xml:space="preserve"> (5)</w:t>
            </w:r>
          </w:p>
        </w:tc>
      </w:tr>
      <w:tr>
        <w:tc>
          <w:tcPr>
            <w:tcW w:type="dxa" w:w="764"/>
            <w:tcBorders>
              <w:left w:color="000000" w:sz="4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  <w:vAlign w:val="bottom"/>
          </w:tcPr>
          <w:p w14:paraId="2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6.</w:t>
            </w:r>
          </w:p>
        </w:tc>
        <w:tc>
          <w:tcPr>
            <w:tcW w:type="dxa" w:w="3371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bottom"/>
          </w:tcPr>
          <w:p w14:paraId="29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Большеберезниковский</w:t>
            </w:r>
          </w:p>
        </w:tc>
        <w:tc>
          <w:tcPr>
            <w:tcW w:type="dxa" w:w="269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bottom"/>
          </w:tcPr>
          <w:p w14:paraId="2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13,9</w:t>
            </w:r>
          </w:p>
        </w:tc>
        <w:tc>
          <w:tcPr>
            <w:tcW w:type="dxa" w:w="2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↑ </w:t>
            </w:r>
            <w:r>
              <w:rPr>
                <w:rFonts w:ascii="Times New Roman" w:hAnsi="Times New Roman"/>
                <w:b w:val="1"/>
                <w:sz w:val="28"/>
              </w:rPr>
              <w:t>6</w:t>
            </w:r>
            <w:r>
              <w:rPr>
                <w:rFonts w:ascii="Times New Roman" w:hAnsi="Times New Roman"/>
                <w:b w:val="1"/>
                <w:sz w:val="28"/>
              </w:rPr>
              <w:t xml:space="preserve"> (11)</w:t>
            </w:r>
          </w:p>
        </w:tc>
      </w:tr>
      <w:tr>
        <w:tc>
          <w:tcPr>
            <w:tcW w:type="dxa" w:w="764"/>
            <w:tcBorders>
              <w:left w:color="000000" w:sz="4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  <w:vAlign w:val="bottom"/>
          </w:tcPr>
          <w:p w14:paraId="2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7.</w:t>
            </w:r>
          </w:p>
        </w:tc>
        <w:tc>
          <w:tcPr>
            <w:tcW w:type="dxa" w:w="3371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bottom"/>
          </w:tcPr>
          <w:p w14:paraId="2D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Лямбирский</w:t>
            </w:r>
          </w:p>
        </w:tc>
        <w:tc>
          <w:tcPr>
            <w:tcW w:type="dxa" w:w="269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bottom"/>
          </w:tcPr>
          <w:p w14:paraId="2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13,6</w:t>
            </w:r>
          </w:p>
        </w:tc>
        <w:tc>
          <w:tcPr>
            <w:tcW w:type="dxa" w:w="2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7</w:t>
            </w:r>
            <w:r>
              <w:rPr>
                <w:rFonts w:ascii="Times New Roman" w:hAnsi="Times New Roman"/>
                <w:b w:val="1"/>
                <w:sz w:val="28"/>
              </w:rPr>
              <w:t xml:space="preserve"> (7)</w:t>
            </w:r>
          </w:p>
        </w:tc>
      </w:tr>
      <w:tr>
        <w:tc>
          <w:tcPr>
            <w:tcW w:type="dxa" w:w="764"/>
            <w:tcBorders>
              <w:left w:color="000000" w:sz="4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  <w:vAlign w:val="bottom"/>
          </w:tcPr>
          <w:p w14:paraId="3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8.</w:t>
            </w:r>
          </w:p>
        </w:tc>
        <w:tc>
          <w:tcPr>
            <w:tcW w:type="dxa" w:w="3371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bottom"/>
          </w:tcPr>
          <w:p w14:paraId="31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Атяшевский</w:t>
            </w:r>
          </w:p>
        </w:tc>
        <w:tc>
          <w:tcPr>
            <w:tcW w:type="dxa" w:w="269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bottom"/>
          </w:tcPr>
          <w:p w14:paraId="3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13,4</w:t>
            </w:r>
          </w:p>
        </w:tc>
        <w:tc>
          <w:tcPr>
            <w:tcW w:type="dxa" w:w="2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</w:rPr>
              <w:t>↓</w:t>
            </w:r>
            <w:r>
              <w:rPr>
                <w:rFonts w:ascii="Times New Roman" w:hAnsi="Times New Roman"/>
                <w:b w:val="1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b w:val="1"/>
                <w:sz w:val="28"/>
              </w:rPr>
              <w:t>8</w:t>
            </w:r>
            <w:r>
              <w:rPr>
                <w:rFonts w:ascii="Times New Roman" w:hAnsi="Times New Roman"/>
                <w:b w:val="1"/>
                <w:sz w:val="28"/>
              </w:rPr>
              <w:t xml:space="preserve"> (4)</w:t>
            </w:r>
          </w:p>
        </w:tc>
      </w:tr>
      <w:tr>
        <w:tc>
          <w:tcPr>
            <w:tcW w:type="dxa" w:w="764"/>
            <w:tcBorders>
              <w:left w:color="000000" w:sz="4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  <w:vAlign w:val="bottom"/>
          </w:tcPr>
          <w:p w14:paraId="3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9.</w:t>
            </w:r>
          </w:p>
        </w:tc>
        <w:tc>
          <w:tcPr>
            <w:tcW w:type="dxa" w:w="3371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bottom"/>
          </w:tcPr>
          <w:p w14:paraId="35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Ичалковский</w:t>
            </w:r>
          </w:p>
        </w:tc>
        <w:tc>
          <w:tcPr>
            <w:tcW w:type="dxa" w:w="269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bottom"/>
          </w:tcPr>
          <w:p w14:paraId="3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13,2</w:t>
            </w:r>
          </w:p>
        </w:tc>
        <w:tc>
          <w:tcPr>
            <w:tcW w:type="dxa" w:w="2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↑ </w:t>
            </w:r>
            <w:r>
              <w:rPr>
                <w:rFonts w:ascii="Times New Roman" w:hAnsi="Times New Roman"/>
                <w:b w:val="1"/>
                <w:sz w:val="28"/>
              </w:rPr>
              <w:t>9</w:t>
            </w:r>
            <w:r>
              <w:rPr>
                <w:rFonts w:ascii="Times New Roman" w:hAnsi="Times New Roman"/>
                <w:b w:val="1"/>
                <w:sz w:val="28"/>
              </w:rPr>
              <w:t xml:space="preserve"> (10)</w:t>
            </w:r>
          </w:p>
        </w:tc>
      </w:tr>
      <w:tr>
        <w:tc>
          <w:tcPr>
            <w:tcW w:type="dxa" w:w="764"/>
            <w:tcBorders>
              <w:left w:color="000000" w:sz="4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  <w:vAlign w:val="bottom"/>
          </w:tcPr>
          <w:p w14:paraId="3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10.</w:t>
            </w:r>
          </w:p>
        </w:tc>
        <w:tc>
          <w:tcPr>
            <w:tcW w:type="dxa" w:w="3371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bottom"/>
          </w:tcPr>
          <w:p w14:paraId="39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Темниковский</w:t>
            </w:r>
          </w:p>
        </w:tc>
        <w:tc>
          <w:tcPr>
            <w:tcW w:type="dxa" w:w="269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bottom"/>
          </w:tcPr>
          <w:p w14:paraId="3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13,1</w:t>
            </w:r>
          </w:p>
        </w:tc>
        <w:tc>
          <w:tcPr>
            <w:tcW w:type="dxa" w:w="2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↑ </w:t>
            </w:r>
            <w:r>
              <w:rPr>
                <w:rFonts w:ascii="Times New Roman" w:hAnsi="Times New Roman"/>
                <w:b w:val="1"/>
                <w:sz w:val="28"/>
              </w:rPr>
              <w:t>10</w:t>
            </w:r>
            <w:r>
              <w:rPr>
                <w:rFonts w:ascii="Times New Roman" w:hAnsi="Times New Roman"/>
                <w:b w:val="1"/>
                <w:sz w:val="28"/>
              </w:rPr>
              <w:t xml:space="preserve"> (12)</w:t>
            </w:r>
          </w:p>
        </w:tc>
      </w:tr>
      <w:tr>
        <w:tc>
          <w:tcPr>
            <w:tcW w:type="dxa" w:w="764"/>
            <w:tcBorders>
              <w:left w:color="000000" w:sz="4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  <w:vAlign w:val="bottom"/>
          </w:tcPr>
          <w:p w14:paraId="3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11.</w:t>
            </w:r>
          </w:p>
        </w:tc>
        <w:tc>
          <w:tcPr>
            <w:tcW w:type="dxa" w:w="3371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bottom"/>
          </w:tcPr>
          <w:p w14:paraId="3D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Старошайговский</w:t>
            </w:r>
          </w:p>
        </w:tc>
        <w:tc>
          <w:tcPr>
            <w:tcW w:type="dxa" w:w="269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bottom"/>
          </w:tcPr>
          <w:p w14:paraId="3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12,6</w:t>
            </w:r>
          </w:p>
        </w:tc>
        <w:tc>
          <w:tcPr>
            <w:tcW w:type="dxa" w:w="2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↑ </w:t>
            </w:r>
            <w:r>
              <w:rPr>
                <w:rFonts w:ascii="Times New Roman" w:hAnsi="Times New Roman"/>
                <w:b w:val="1"/>
                <w:sz w:val="28"/>
              </w:rPr>
              <w:t>11</w:t>
            </w:r>
            <w:r>
              <w:rPr>
                <w:rFonts w:ascii="Times New Roman" w:hAnsi="Times New Roman"/>
                <w:b w:val="1"/>
                <w:sz w:val="28"/>
              </w:rPr>
              <w:t xml:space="preserve"> (16)</w:t>
            </w:r>
          </w:p>
        </w:tc>
      </w:tr>
      <w:tr>
        <w:tc>
          <w:tcPr>
            <w:tcW w:type="dxa" w:w="764"/>
            <w:tcBorders>
              <w:left w:color="000000" w:sz="4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  <w:vAlign w:val="bottom"/>
          </w:tcPr>
          <w:p w14:paraId="4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12.</w:t>
            </w:r>
          </w:p>
        </w:tc>
        <w:tc>
          <w:tcPr>
            <w:tcW w:type="dxa" w:w="3371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bottom"/>
          </w:tcPr>
          <w:p w14:paraId="41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Чамзинский</w:t>
            </w:r>
          </w:p>
        </w:tc>
        <w:tc>
          <w:tcPr>
            <w:tcW w:type="dxa" w:w="269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bottom"/>
          </w:tcPr>
          <w:p w14:paraId="4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12,3</w:t>
            </w:r>
          </w:p>
        </w:tc>
        <w:tc>
          <w:tcPr>
            <w:tcW w:type="dxa" w:w="2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↑ </w:t>
            </w:r>
            <w:r>
              <w:rPr>
                <w:rFonts w:ascii="Times New Roman" w:hAnsi="Times New Roman"/>
                <w:b w:val="1"/>
                <w:sz w:val="28"/>
              </w:rPr>
              <w:t>12</w:t>
            </w:r>
            <w:r>
              <w:rPr>
                <w:rFonts w:ascii="Times New Roman" w:hAnsi="Times New Roman"/>
                <w:b w:val="1"/>
                <w:sz w:val="28"/>
              </w:rPr>
              <w:t xml:space="preserve"> (</w:t>
            </w:r>
            <w:r>
              <w:rPr>
                <w:rFonts w:ascii="Times New Roman" w:hAnsi="Times New Roman"/>
                <w:b w:val="1"/>
                <w:sz w:val="28"/>
              </w:rPr>
              <w:t>14</w:t>
            </w:r>
            <w:r>
              <w:rPr>
                <w:rFonts w:ascii="Times New Roman" w:hAnsi="Times New Roman"/>
                <w:b w:val="1"/>
                <w:sz w:val="28"/>
              </w:rPr>
              <w:t>)</w:t>
            </w:r>
          </w:p>
        </w:tc>
      </w:tr>
      <w:tr>
        <w:tc>
          <w:tcPr>
            <w:tcW w:type="dxa" w:w="764"/>
            <w:tcBorders>
              <w:left w:color="000000" w:sz="4" w:val="single"/>
              <w:bottom w:color="000000" w:sz="6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  <w:vAlign w:val="bottom"/>
          </w:tcPr>
          <w:p w14:paraId="4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13.</w:t>
            </w:r>
          </w:p>
        </w:tc>
        <w:tc>
          <w:tcPr>
            <w:tcW w:type="dxa" w:w="3371"/>
            <w:tcBorders>
              <w:left w:color="000000" w:sz="4" w:val="single"/>
              <w:bottom w:color="000000" w:sz="6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bottom"/>
          </w:tcPr>
          <w:p w14:paraId="45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Краснослободский</w:t>
            </w:r>
          </w:p>
        </w:tc>
        <w:tc>
          <w:tcPr>
            <w:tcW w:type="dxa" w:w="2694"/>
            <w:tcBorders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bottom"/>
          </w:tcPr>
          <w:p w14:paraId="4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11,5</w:t>
            </w:r>
          </w:p>
        </w:tc>
        <w:tc>
          <w:tcPr>
            <w:tcW w:type="dxa" w:w="2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13</w:t>
            </w:r>
            <w:r>
              <w:rPr>
                <w:rFonts w:ascii="Times New Roman" w:hAnsi="Times New Roman"/>
                <w:b w:val="1"/>
                <w:sz w:val="28"/>
              </w:rPr>
              <w:t xml:space="preserve"> (13)</w:t>
            </w:r>
          </w:p>
        </w:tc>
      </w:tr>
      <w:tr>
        <w:tc>
          <w:tcPr>
            <w:tcW w:type="dxa" w:w="7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  <w:vAlign w:val="bottom"/>
          </w:tcPr>
          <w:p w14:paraId="4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14.</w:t>
            </w:r>
          </w:p>
        </w:tc>
        <w:tc>
          <w:tcPr>
            <w:tcW w:type="dxa" w:w="33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bottom"/>
          </w:tcPr>
          <w:p w14:paraId="49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Большеигнатовский</w:t>
            </w:r>
          </w:p>
        </w:tc>
        <w:tc>
          <w:tcPr>
            <w:tcW w:type="dxa" w:w="26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bottom"/>
          </w:tcPr>
          <w:p w14:paraId="4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11,3</w:t>
            </w:r>
          </w:p>
        </w:tc>
        <w:tc>
          <w:tcPr>
            <w:tcW w:type="dxa" w:w="2590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</w:rPr>
              <w:t>↓</w:t>
            </w:r>
            <w:r>
              <w:rPr>
                <w:rFonts w:ascii="Times New Roman" w:hAnsi="Times New Roman"/>
                <w:b w:val="1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b w:val="1"/>
                <w:sz w:val="28"/>
              </w:rPr>
              <w:t>14</w:t>
            </w:r>
            <w:r>
              <w:rPr>
                <w:rFonts w:ascii="Times New Roman" w:hAnsi="Times New Roman"/>
                <w:b w:val="1"/>
                <w:sz w:val="28"/>
              </w:rPr>
              <w:t xml:space="preserve"> (8)</w:t>
            </w:r>
          </w:p>
        </w:tc>
      </w:tr>
      <w:tr>
        <w:tc>
          <w:tcPr>
            <w:tcW w:type="dxa" w:w="764"/>
            <w:tcBorders>
              <w:top w:color="000000" w:sz="6" w:val="single"/>
              <w:left w:color="000000" w:sz="4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  <w:vAlign w:val="bottom"/>
          </w:tcPr>
          <w:p w14:paraId="4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15.</w:t>
            </w:r>
          </w:p>
        </w:tc>
        <w:tc>
          <w:tcPr>
            <w:tcW w:type="dxa" w:w="3371"/>
            <w:tcBorders>
              <w:top w:color="000000" w:sz="6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bottom"/>
          </w:tcPr>
          <w:p w14:paraId="4D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Кочкуровский</w:t>
            </w:r>
          </w:p>
        </w:tc>
        <w:tc>
          <w:tcPr>
            <w:tcW w:type="dxa" w:w="2694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bottom"/>
          </w:tcPr>
          <w:p w14:paraId="4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11</w:t>
            </w:r>
          </w:p>
        </w:tc>
        <w:tc>
          <w:tcPr>
            <w:tcW w:type="dxa" w:w="2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</w:rPr>
              <w:t>↓</w:t>
            </w:r>
            <w:r>
              <w:rPr>
                <w:rFonts w:ascii="Times New Roman" w:hAnsi="Times New Roman"/>
                <w:b w:val="1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b w:val="1"/>
                <w:sz w:val="28"/>
              </w:rPr>
              <w:t>15</w:t>
            </w:r>
            <w:r>
              <w:rPr>
                <w:rFonts w:ascii="Times New Roman" w:hAnsi="Times New Roman"/>
                <w:b w:val="1"/>
                <w:sz w:val="28"/>
              </w:rPr>
              <w:t xml:space="preserve"> (9)</w:t>
            </w:r>
          </w:p>
        </w:tc>
      </w:tr>
      <w:tr>
        <w:tc>
          <w:tcPr>
            <w:tcW w:type="dxa" w:w="764"/>
            <w:tcBorders>
              <w:left w:color="000000" w:sz="4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  <w:vAlign w:val="bottom"/>
          </w:tcPr>
          <w:p w14:paraId="5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16.</w:t>
            </w:r>
          </w:p>
        </w:tc>
        <w:tc>
          <w:tcPr>
            <w:tcW w:type="dxa" w:w="3371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bottom"/>
          </w:tcPr>
          <w:p w14:paraId="51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Ковылкинский</w:t>
            </w:r>
          </w:p>
        </w:tc>
        <w:tc>
          <w:tcPr>
            <w:tcW w:type="dxa" w:w="269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bottom"/>
          </w:tcPr>
          <w:p w14:paraId="5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10,6</w:t>
            </w:r>
          </w:p>
        </w:tc>
        <w:tc>
          <w:tcPr>
            <w:tcW w:type="dxa" w:w="2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↑ </w:t>
            </w:r>
            <w:r>
              <w:rPr>
                <w:rFonts w:ascii="Times New Roman" w:hAnsi="Times New Roman"/>
                <w:b w:val="1"/>
                <w:sz w:val="28"/>
              </w:rPr>
              <w:t>16</w:t>
            </w:r>
            <w:r>
              <w:rPr>
                <w:rFonts w:ascii="Times New Roman" w:hAnsi="Times New Roman"/>
                <w:b w:val="1"/>
                <w:sz w:val="28"/>
              </w:rPr>
              <w:t xml:space="preserve"> (18)</w:t>
            </w:r>
          </w:p>
        </w:tc>
      </w:tr>
      <w:tr>
        <w:tc>
          <w:tcPr>
            <w:tcW w:type="dxa" w:w="764"/>
            <w:tcBorders>
              <w:left w:color="000000" w:sz="4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  <w:vAlign w:val="bottom"/>
          </w:tcPr>
          <w:p w14:paraId="5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17.</w:t>
            </w:r>
          </w:p>
        </w:tc>
        <w:tc>
          <w:tcPr>
            <w:tcW w:type="dxa" w:w="3371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bottom"/>
          </w:tcPr>
          <w:p w14:paraId="55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Инсарский</w:t>
            </w:r>
          </w:p>
        </w:tc>
        <w:tc>
          <w:tcPr>
            <w:tcW w:type="dxa" w:w="269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bottom"/>
          </w:tcPr>
          <w:p w14:paraId="5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9,9</w:t>
            </w:r>
          </w:p>
        </w:tc>
        <w:tc>
          <w:tcPr>
            <w:tcW w:type="dxa" w:w="2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↑ </w:t>
            </w:r>
            <w:r>
              <w:rPr>
                <w:rFonts w:ascii="Times New Roman" w:hAnsi="Times New Roman"/>
                <w:b w:val="1"/>
                <w:sz w:val="28"/>
              </w:rPr>
              <w:t>17</w:t>
            </w:r>
            <w:r>
              <w:rPr>
                <w:rFonts w:ascii="Times New Roman" w:hAnsi="Times New Roman"/>
                <w:b w:val="1"/>
                <w:sz w:val="28"/>
              </w:rPr>
              <w:t xml:space="preserve"> (23)</w:t>
            </w:r>
          </w:p>
        </w:tc>
      </w:tr>
      <w:tr>
        <w:tc>
          <w:tcPr>
            <w:tcW w:type="dxa" w:w="764"/>
            <w:tcBorders>
              <w:left w:color="000000" w:sz="4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  <w:vAlign w:val="bottom"/>
          </w:tcPr>
          <w:p w14:paraId="5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18.</w:t>
            </w:r>
          </w:p>
        </w:tc>
        <w:tc>
          <w:tcPr>
            <w:tcW w:type="dxa" w:w="3371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bottom"/>
          </w:tcPr>
          <w:p w14:paraId="59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Торбеевский</w:t>
            </w:r>
          </w:p>
        </w:tc>
        <w:tc>
          <w:tcPr>
            <w:tcW w:type="dxa" w:w="269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bottom"/>
          </w:tcPr>
          <w:p w14:paraId="5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9,8</w:t>
            </w:r>
          </w:p>
        </w:tc>
        <w:tc>
          <w:tcPr>
            <w:tcW w:type="dxa" w:w="2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</w:rPr>
              <w:t>↓</w:t>
            </w:r>
            <w:r>
              <w:rPr>
                <w:rFonts w:ascii="Times New Roman" w:hAnsi="Times New Roman"/>
                <w:b w:val="1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b w:val="1"/>
                <w:sz w:val="28"/>
              </w:rPr>
              <w:t>18</w:t>
            </w:r>
            <w:r>
              <w:rPr>
                <w:rFonts w:ascii="Times New Roman" w:hAnsi="Times New Roman"/>
                <w:b w:val="1"/>
                <w:sz w:val="28"/>
              </w:rPr>
              <w:t xml:space="preserve"> (15)</w:t>
            </w:r>
          </w:p>
        </w:tc>
      </w:tr>
      <w:tr>
        <w:tc>
          <w:tcPr>
            <w:tcW w:type="dxa" w:w="764"/>
            <w:tcBorders>
              <w:left w:color="000000" w:sz="4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  <w:vAlign w:val="bottom"/>
          </w:tcPr>
          <w:p w14:paraId="5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19.</w:t>
            </w:r>
          </w:p>
        </w:tc>
        <w:tc>
          <w:tcPr>
            <w:tcW w:type="dxa" w:w="3371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bottom"/>
          </w:tcPr>
          <w:p w14:paraId="5D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Кадошкинский</w:t>
            </w:r>
          </w:p>
        </w:tc>
        <w:tc>
          <w:tcPr>
            <w:tcW w:type="dxa" w:w="269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bottom"/>
          </w:tcPr>
          <w:p w14:paraId="5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9,7</w:t>
            </w:r>
          </w:p>
        </w:tc>
        <w:tc>
          <w:tcPr>
            <w:tcW w:type="dxa" w:w="2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↑ </w:t>
            </w:r>
            <w:r>
              <w:rPr>
                <w:rFonts w:ascii="Times New Roman" w:hAnsi="Times New Roman"/>
                <w:b w:val="1"/>
                <w:sz w:val="28"/>
              </w:rPr>
              <w:t>19</w:t>
            </w:r>
            <w:r>
              <w:rPr>
                <w:rFonts w:ascii="Times New Roman" w:hAnsi="Times New Roman"/>
                <w:b w:val="1"/>
                <w:sz w:val="28"/>
              </w:rPr>
              <w:t xml:space="preserve"> (20)</w:t>
            </w:r>
          </w:p>
        </w:tc>
      </w:tr>
      <w:tr>
        <w:tc>
          <w:tcPr>
            <w:tcW w:type="dxa" w:w="764"/>
            <w:tcBorders>
              <w:left w:color="000000" w:sz="4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  <w:vAlign w:val="bottom"/>
          </w:tcPr>
          <w:p w14:paraId="6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20.</w:t>
            </w:r>
          </w:p>
        </w:tc>
        <w:tc>
          <w:tcPr>
            <w:tcW w:type="dxa" w:w="3371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bottom"/>
          </w:tcPr>
          <w:p w14:paraId="61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Теньгушевский</w:t>
            </w:r>
          </w:p>
        </w:tc>
        <w:tc>
          <w:tcPr>
            <w:tcW w:type="dxa" w:w="269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bottom"/>
          </w:tcPr>
          <w:p w14:paraId="6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8,9</w:t>
            </w:r>
          </w:p>
        </w:tc>
        <w:tc>
          <w:tcPr>
            <w:tcW w:type="dxa" w:w="2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</w:rPr>
              <w:t>↓</w:t>
            </w:r>
            <w:r>
              <w:rPr>
                <w:rFonts w:ascii="Times New Roman" w:hAnsi="Times New Roman"/>
                <w:b w:val="1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b w:val="1"/>
                <w:sz w:val="28"/>
              </w:rPr>
              <w:t>20</w:t>
            </w:r>
            <w:r>
              <w:rPr>
                <w:rFonts w:ascii="Times New Roman" w:hAnsi="Times New Roman"/>
                <w:b w:val="1"/>
                <w:sz w:val="28"/>
              </w:rPr>
              <w:t xml:space="preserve"> (19)</w:t>
            </w:r>
          </w:p>
        </w:tc>
      </w:tr>
      <w:tr>
        <w:tc>
          <w:tcPr>
            <w:tcW w:type="dxa" w:w="764"/>
            <w:tcBorders>
              <w:left w:color="000000" w:sz="4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  <w:vAlign w:val="bottom"/>
          </w:tcPr>
          <w:p w14:paraId="6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21.</w:t>
            </w:r>
          </w:p>
        </w:tc>
        <w:tc>
          <w:tcPr>
            <w:tcW w:type="dxa" w:w="3371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bottom"/>
          </w:tcPr>
          <w:p w14:paraId="65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Зубово</w:t>
            </w:r>
            <w:r>
              <w:rPr>
                <w:rFonts w:ascii="Times New Roman" w:hAnsi="Times New Roman"/>
                <w:color w:val="000000"/>
                <w:sz w:val="28"/>
              </w:rPr>
              <w:t>-Полянский</w:t>
            </w:r>
          </w:p>
        </w:tc>
        <w:tc>
          <w:tcPr>
            <w:tcW w:type="dxa" w:w="269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bottom"/>
          </w:tcPr>
          <w:p w14:paraId="6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7,8</w:t>
            </w:r>
          </w:p>
        </w:tc>
        <w:tc>
          <w:tcPr>
            <w:tcW w:type="dxa" w:w="2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</w:rPr>
              <w:t>↓</w:t>
            </w:r>
            <w:r>
              <w:rPr>
                <w:rFonts w:ascii="Times New Roman" w:hAnsi="Times New Roman"/>
                <w:b w:val="1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b w:val="1"/>
                <w:sz w:val="28"/>
              </w:rPr>
              <w:t>21</w:t>
            </w:r>
            <w:r>
              <w:rPr>
                <w:rFonts w:ascii="Times New Roman" w:hAnsi="Times New Roman"/>
                <w:b w:val="1"/>
                <w:sz w:val="28"/>
              </w:rPr>
              <w:t xml:space="preserve"> (17)</w:t>
            </w:r>
          </w:p>
        </w:tc>
      </w:tr>
      <w:tr>
        <w:tc>
          <w:tcPr>
            <w:tcW w:type="dxa" w:w="764"/>
            <w:tcBorders>
              <w:left w:color="000000" w:sz="4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  <w:vAlign w:val="bottom"/>
          </w:tcPr>
          <w:p w14:paraId="6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22.</w:t>
            </w:r>
          </w:p>
        </w:tc>
        <w:tc>
          <w:tcPr>
            <w:tcW w:type="dxa" w:w="3371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bottom"/>
          </w:tcPr>
          <w:p w14:paraId="69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Атюрьевский</w:t>
            </w:r>
          </w:p>
        </w:tc>
        <w:tc>
          <w:tcPr>
            <w:tcW w:type="dxa" w:w="269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bottom"/>
          </w:tcPr>
          <w:p w14:paraId="6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6,6</w:t>
            </w:r>
          </w:p>
        </w:tc>
        <w:tc>
          <w:tcPr>
            <w:tcW w:type="dxa" w:w="2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22</w:t>
            </w:r>
            <w:r>
              <w:rPr>
                <w:rFonts w:ascii="Times New Roman" w:hAnsi="Times New Roman"/>
                <w:b w:val="1"/>
                <w:sz w:val="28"/>
              </w:rPr>
              <w:t xml:space="preserve"> (22)</w:t>
            </w:r>
          </w:p>
        </w:tc>
      </w:tr>
      <w:tr>
        <w:tc>
          <w:tcPr>
            <w:tcW w:type="dxa" w:w="764"/>
            <w:tcBorders>
              <w:left w:color="000000" w:sz="4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  <w:vAlign w:val="bottom"/>
          </w:tcPr>
          <w:p w14:paraId="6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23.</w:t>
            </w:r>
          </w:p>
        </w:tc>
        <w:tc>
          <w:tcPr>
            <w:tcW w:type="dxa" w:w="3371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bottom"/>
          </w:tcPr>
          <w:p w14:paraId="6D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Ельниковский</w:t>
            </w:r>
          </w:p>
        </w:tc>
        <w:tc>
          <w:tcPr>
            <w:tcW w:type="dxa" w:w="269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bottom"/>
          </w:tcPr>
          <w:p w14:paraId="6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5,5</w:t>
            </w:r>
          </w:p>
        </w:tc>
        <w:tc>
          <w:tcPr>
            <w:tcW w:type="dxa" w:w="2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</w:rPr>
              <w:t>↓</w:t>
            </w:r>
            <w:r>
              <w:rPr>
                <w:rFonts w:ascii="Times New Roman" w:hAnsi="Times New Roman"/>
                <w:b w:val="1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b w:val="1"/>
                <w:sz w:val="28"/>
              </w:rPr>
              <w:t>23</w:t>
            </w:r>
            <w:r>
              <w:rPr>
                <w:rFonts w:ascii="Times New Roman" w:hAnsi="Times New Roman"/>
                <w:b w:val="1"/>
                <w:sz w:val="28"/>
              </w:rPr>
              <w:t xml:space="preserve"> (</w:t>
            </w:r>
            <w:r>
              <w:rPr>
                <w:rFonts w:ascii="Times New Roman" w:hAnsi="Times New Roman"/>
                <w:b w:val="1"/>
                <w:sz w:val="28"/>
              </w:rPr>
              <w:t>21</w:t>
            </w:r>
            <w:r>
              <w:rPr>
                <w:rFonts w:ascii="Times New Roman" w:hAnsi="Times New Roman"/>
                <w:b w:val="1"/>
                <w:sz w:val="28"/>
              </w:rPr>
              <w:t>)</w:t>
            </w:r>
          </w:p>
        </w:tc>
      </w:tr>
    </w:tbl>
    <w:p w14:paraId="70000000">
      <w:pPr>
        <w:spacing w:after="0" w:line="240" w:lineRule="auto"/>
        <w:ind/>
        <w:jc w:val="both"/>
      </w:pPr>
    </w:p>
    <w:p w14:paraId="71000000">
      <w:pPr>
        <w:spacing w:after="0" w:line="240" w:lineRule="auto"/>
        <w:ind/>
        <w:rPr>
          <w:sz w:val="24"/>
        </w:rPr>
      </w:pPr>
    </w:p>
    <w:sectPr>
      <w:pgSz w:h="16838" w:orient="portrait" w:w="11906"/>
      <w:pgMar w:bottom="284" w:footer="0" w:gutter="0" w:header="0" w:left="1701" w:right="851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after="200" w:line="276" w:lineRule="auto"/>
      <w:ind/>
    </w:pPr>
    <w:rPr>
      <w:color w:val="00000A"/>
      <w:sz w:val="22"/>
    </w:rPr>
  </w:style>
  <w:style w:default="1" w:styleId="Style_1_ch" w:type="character">
    <w:name w:val="Normal"/>
    <w:link w:val="Style_1"/>
    <w:rPr>
      <w:color w:val="00000A"/>
      <w:sz w:val="22"/>
    </w:rPr>
  </w:style>
  <w:style w:styleId="Style_2" w:type="paragraph">
    <w:name w:val="Заголовок"/>
    <w:basedOn w:val="Style_1"/>
    <w:next w:val="Style_3"/>
    <w:link w:val="Style_2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2_ch" w:type="character">
    <w:name w:val="Заголовок"/>
    <w:basedOn w:val="Style_1_ch"/>
    <w:link w:val="Style_2"/>
    <w:rPr>
      <w:rFonts w:ascii="Liberation Sans" w:hAnsi="Liberation Sans"/>
      <w:sz w:val="28"/>
    </w:rPr>
  </w:style>
  <w:style w:styleId="Style_4" w:type="paragraph">
    <w:name w:val="Default Paragraph Font"/>
    <w:link w:val="Style_4_ch"/>
  </w:style>
  <w:style w:styleId="Style_4_ch" w:type="character">
    <w:name w:val="Default Paragraph Font"/>
    <w:link w:val="Style_4"/>
  </w:style>
  <w:style w:styleId="Style_5" w:type="paragraph">
    <w:name w:val="toc 2"/>
    <w:next w:val="Style_1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1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1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1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Абзац списка Знак"/>
    <w:link w:val="Style_9_ch"/>
    <w:rPr>
      <w:rFonts w:ascii="Calibri" w:hAnsi="Calibri"/>
    </w:rPr>
  </w:style>
  <w:style w:styleId="Style_9_ch" w:type="character">
    <w:name w:val="Абзац списка Знак"/>
    <w:link w:val="Style_9"/>
    <w:rPr>
      <w:rFonts w:ascii="Calibri" w:hAnsi="Calibri"/>
    </w:rPr>
  </w:style>
  <w:style w:styleId="Style_10" w:type="paragraph">
    <w:name w:val="heading 3"/>
    <w:next w:val="Style_1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List Paragraph"/>
    <w:basedOn w:val="Style_1"/>
    <w:link w:val="Style_11_ch"/>
    <w:pPr>
      <w:ind w:firstLine="0" w:left="720"/>
      <w:contextualSpacing w:val="1"/>
    </w:pPr>
  </w:style>
  <w:style w:styleId="Style_11_ch" w:type="character">
    <w:name w:val="List Paragraph"/>
    <w:basedOn w:val="Style_1_ch"/>
    <w:link w:val="Style_11"/>
  </w:style>
  <w:style w:styleId="Style_12" w:type="paragraph">
    <w:name w:val="Заголовок таблицы"/>
    <w:basedOn w:val="Style_13"/>
    <w:link w:val="Style_12_ch"/>
    <w:pPr>
      <w:ind/>
      <w:jc w:val="center"/>
    </w:pPr>
    <w:rPr>
      <w:b w:val="1"/>
    </w:rPr>
  </w:style>
  <w:style w:styleId="Style_12_ch" w:type="character">
    <w:name w:val="Заголовок таблицы"/>
    <w:basedOn w:val="Style_13_ch"/>
    <w:link w:val="Style_12"/>
    <w:rPr>
      <w:b w:val="1"/>
    </w:rPr>
  </w:style>
  <w:style w:styleId="Style_14" w:type="paragraph">
    <w:name w:val="toc 3"/>
    <w:next w:val="Style_1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3" w:type="paragraph">
    <w:name w:val="Содержимое таблицы"/>
    <w:basedOn w:val="Style_1"/>
    <w:link w:val="Style_13_ch"/>
  </w:style>
  <w:style w:styleId="Style_13_ch" w:type="character">
    <w:name w:val="Содержимое таблицы"/>
    <w:basedOn w:val="Style_1_ch"/>
    <w:link w:val="Style_13"/>
  </w:style>
  <w:style w:styleId="Style_15" w:type="paragraph">
    <w:name w:val="Balloon Text"/>
    <w:basedOn w:val="Style_1"/>
    <w:link w:val="Style_15_ch"/>
    <w:pPr>
      <w:spacing w:after="0" w:line="240" w:lineRule="auto"/>
      <w:ind/>
    </w:pPr>
    <w:rPr>
      <w:rFonts w:ascii="Segoe UI" w:hAnsi="Segoe UI"/>
      <w:sz w:val="18"/>
    </w:rPr>
  </w:style>
  <w:style w:styleId="Style_15_ch" w:type="character">
    <w:name w:val="Balloon Text"/>
    <w:basedOn w:val="Style_1_ch"/>
    <w:link w:val="Style_15"/>
    <w:rPr>
      <w:rFonts w:ascii="Segoe UI" w:hAnsi="Segoe UI"/>
      <w:sz w:val="18"/>
    </w:rPr>
  </w:style>
  <w:style w:styleId="Style_3" w:type="paragraph">
    <w:name w:val="Body Text"/>
    <w:basedOn w:val="Style_1"/>
    <w:link w:val="Style_3_ch"/>
    <w:pPr>
      <w:spacing w:after="140" w:line="288" w:lineRule="auto"/>
      <w:ind/>
    </w:pPr>
  </w:style>
  <w:style w:styleId="Style_3_ch" w:type="character">
    <w:name w:val="Body Text"/>
    <w:basedOn w:val="Style_1_ch"/>
    <w:link w:val="Style_3"/>
  </w:style>
  <w:style w:styleId="Style_16" w:type="paragraph">
    <w:name w:val="List"/>
    <w:basedOn w:val="Style_3"/>
    <w:link w:val="Style_16_ch"/>
  </w:style>
  <w:style w:styleId="Style_16_ch" w:type="character">
    <w:name w:val="List"/>
    <w:basedOn w:val="Style_3_ch"/>
    <w:link w:val="Style_16"/>
  </w:style>
  <w:style w:styleId="Style_17" w:type="paragraph">
    <w:name w:val="heading 5"/>
    <w:next w:val="Style_1"/>
    <w:link w:val="Style_1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7_ch" w:type="character">
    <w:name w:val="heading 5"/>
    <w:link w:val="Style_17"/>
    <w:rPr>
      <w:rFonts w:ascii="XO Thames" w:hAnsi="XO Thames"/>
      <w:b w:val="1"/>
      <w:sz w:val="22"/>
    </w:rPr>
  </w:style>
  <w:style w:styleId="Style_18" w:type="paragraph">
    <w:name w:val="heading 1"/>
    <w:next w:val="Style_1"/>
    <w:link w:val="Style_18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8_ch" w:type="character">
    <w:name w:val="heading 1"/>
    <w:link w:val="Style_18"/>
    <w:rPr>
      <w:rFonts w:ascii="XO Thames" w:hAnsi="XO Thames"/>
      <w:b w:val="1"/>
      <w:sz w:val="32"/>
    </w:rPr>
  </w:style>
  <w:style w:styleId="Style_19" w:type="paragraph">
    <w:name w:val="Hyperlink"/>
    <w:link w:val="Style_19_ch"/>
    <w:rPr>
      <w:color w:val="0000FF"/>
      <w:u w:val="single"/>
    </w:rPr>
  </w:style>
  <w:style w:styleId="Style_19_ch" w:type="character">
    <w:name w:val="Hyperlink"/>
    <w:link w:val="Style_19"/>
    <w:rPr>
      <w:color w:val="0000FF"/>
      <w:u w:val="single"/>
    </w:rPr>
  </w:style>
  <w:style w:styleId="Style_20" w:type="paragraph">
    <w:name w:val="Footnote"/>
    <w:link w:val="Style_20_ch"/>
    <w:pPr>
      <w:ind w:firstLine="851" w:left="0"/>
      <w:jc w:val="both"/>
    </w:pPr>
    <w:rPr>
      <w:rFonts w:ascii="XO Thames" w:hAnsi="XO Thames"/>
      <w:sz w:val="22"/>
    </w:rPr>
  </w:style>
  <w:style w:styleId="Style_20_ch" w:type="character">
    <w:name w:val="Footnote"/>
    <w:link w:val="Style_20"/>
    <w:rPr>
      <w:rFonts w:ascii="XO Thames" w:hAnsi="XO Thames"/>
      <w:sz w:val="22"/>
    </w:rPr>
  </w:style>
  <w:style w:styleId="Style_21" w:type="paragraph">
    <w:name w:val="toc 1"/>
    <w:next w:val="Style_1"/>
    <w:link w:val="Style_2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1_ch" w:type="character">
    <w:name w:val="toc 1"/>
    <w:link w:val="Style_21"/>
    <w:rPr>
      <w:rFonts w:ascii="XO Thames" w:hAnsi="XO Thames"/>
      <w:b w:val="1"/>
      <w:sz w:val="28"/>
    </w:rPr>
  </w:style>
  <w:style w:styleId="Style_22" w:type="paragraph">
    <w:name w:val="Header and Footer"/>
    <w:link w:val="Style_22_ch"/>
    <w:pPr>
      <w:spacing w:line="240" w:lineRule="auto"/>
      <w:ind/>
      <w:jc w:val="both"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23" w:type="paragraph">
    <w:name w:val="toc 9"/>
    <w:next w:val="Style_1"/>
    <w:link w:val="Style_2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3_ch" w:type="character">
    <w:name w:val="toc 9"/>
    <w:link w:val="Style_23"/>
    <w:rPr>
      <w:rFonts w:ascii="XO Thames" w:hAnsi="XO Thames"/>
      <w:sz w:val="28"/>
    </w:rPr>
  </w:style>
  <w:style w:styleId="Style_24" w:type="paragraph">
    <w:name w:val="toc 8"/>
    <w:next w:val="Style_1"/>
    <w:link w:val="Style_2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4_ch" w:type="character">
    <w:name w:val="toc 8"/>
    <w:link w:val="Style_24"/>
    <w:rPr>
      <w:rFonts w:ascii="XO Thames" w:hAnsi="XO Thames"/>
      <w:sz w:val="28"/>
    </w:rPr>
  </w:style>
  <w:style w:styleId="Style_25" w:type="paragraph">
    <w:name w:val="caption"/>
    <w:basedOn w:val="Style_1"/>
    <w:link w:val="Style_25_ch"/>
    <w:pPr>
      <w:spacing w:after="120" w:before="120"/>
      <w:ind/>
    </w:pPr>
    <w:rPr>
      <w:i w:val="1"/>
      <w:sz w:val="24"/>
    </w:rPr>
  </w:style>
  <w:style w:styleId="Style_25_ch" w:type="character">
    <w:name w:val="caption"/>
    <w:basedOn w:val="Style_1_ch"/>
    <w:link w:val="Style_25"/>
    <w:rPr>
      <w:i w:val="1"/>
      <w:sz w:val="24"/>
    </w:rPr>
  </w:style>
  <w:style w:styleId="Style_26" w:type="paragraph">
    <w:name w:val="toc 5"/>
    <w:next w:val="Style_1"/>
    <w:link w:val="Style_2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6_ch" w:type="character">
    <w:name w:val="toc 5"/>
    <w:link w:val="Style_26"/>
    <w:rPr>
      <w:rFonts w:ascii="XO Thames" w:hAnsi="XO Thames"/>
      <w:sz w:val="28"/>
    </w:rPr>
  </w:style>
  <w:style w:styleId="Style_27" w:type="paragraph">
    <w:name w:val="Subtitle"/>
    <w:next w:val="Style_1"/>
    <w:link w:val="Style_2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7_ch" w:type="character">
    <w:name w:val="Subtitle"/>
    <w:link w:val="Style_27"/>
    <w:rPr>
      <w:rFonts w:ascii="XO Thames" w:hAnsi="XO Thames"/>
      <w:i w:val="1"/>
      <w:sz w:val="24"/>
    </w:rPr>
  </w:style>
  <w:style w:styleId="Style_28" w:type="paragraph">
    <w:name w:val="Title"/>
    <w:next w:val="Style_1"/>
    <w:link w:val="Style_2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8_ch" w:type="character">
    <w:name w:val="Title"/>
    <w:link w:val="Style_28"/>
    <w:rPr>
      <w:rFonts w:ascii="XO Thames" w:hAnsi="XO Thames"/>
      <w:b w:val="1"/>
      <w:caps w:val="1"/>
      <w:sz w:val="40"/>
    </w:rPr>
  </w:style>
  <w:style w:styleId="Style_29" w:type="paragraph">
    <w:name w:val="heading 4"/>
    <w:next w:val="Style_1"/>
    <w:link w:val="Style_2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9_ch" w:type="character">
    <w:name w:val="heading 4"/>
    <w:link w:val="Style_29"/>
    <w:rPr>
      <w:rFonts w:ascii="XO Thames" w:hAnsi="XO Thames"/>
      <w:b w:val="1"/>
      <w:sz w:val="24"/>
    </w:rPr>
  </w:style>
  <w:style w:styleId="Style_30" w:type="paragraph">
    <w:name w:val="index heading"/>
    <w:basedOn w:val="Style_1"/>
    <w:link w:val="Style_30_ch"/>
  </w:style>
  <w:style w:styleId="Style_30_ch" w:type="character">
    <w:name w:val="index heading"/>
    <w:basedOn w:val="Style_1_ch"/>
    <w:link w:val="Style_30"/>
  </w:style>
  <w:style w:styleId="Style_31" w:type="paragraph">
    <w:name w:val="heading 2"/>
    <w:next w:val="Style_1"/>
    <w:link w:val="Style_3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1_ch" w:type="character">
    <w:name w:val="heading 2"/>
    <w:link w:val="Style_31"/>
    <w:rPr>
      <w:rFonts w:ascii="XO Thames" w:hAnsi="XO Thames"/>
      <w:b w:val="1"/>
      <w:sz w:val="28"/>
    </w:rPr>
  </w:style>
  <w:style w:default="1" w:styleId="Style_3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2023-03-13T08:17:15Z</dcterms:modified>
</cp:coreProperties>
</file>